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中医药适宜技术推广中医经典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eastAsia="zh-CN"/>
        </w:rPr>
        <w:t>课程培训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华文中宋"/>
          <w:b/>
          <w:bCs w:val="0"/>
          <w:color w:val="000000"/>
          <w:kern w:val="0"/>
          <w:sz w:val="30"/>
          <w:szCs w:val="30"/>
        </w:rPr>
        <w:t>开始授课）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5月4日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从浊毒论治慢性萎缩性胃炎及胃癌前病变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李佃贵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国医大师</w:t>
            </w: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eastAsia="zh-CN"/>
              </w:rPr>
              <w:t>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河北省中医院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5月11日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呼吸疾病中医诊疗新技术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李素云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  <w:lang w:val="en-US" w:eastAsia="zh-CN"/>
              </w:rPr>
              <w:t>岐黄学者、</w:t>
            </w: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河南中医药大学第一附属医院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5月18日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劳淋（再发性尿路感染）的中医治疗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张佩青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全国名中医、黑龙江省名中医、主任医师、教授、博士研究生导师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黑龙江省中医药科学院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5月25日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中医药治疗神志病的临床思维与优势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赵永厚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国家中医药管理局中医神志病重点专科（学科）带头人、黑龙江省名中医、主任医师、教授、博士研究生导师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黑龙江神志医院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B2DB0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64A2958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B992E89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553FBA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305</Characters>
  <Lines>2</Lines>
  <Paragraphs>1</Paragraphs>
  <TotalTime>1</TotalTime>
  <ScaleCrop>false</ScaleCrop>
  <LinksUpToDate>false</LinksUpToDate>
  <CharactersWithSpaces>305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2023-04-25T06:34:36Z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F7C63D288F0A44AAB61DE555EDF9E2FA</vt:lpwstr>
  </property>
</Properties>
</file>